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D" w:rsidRDefault="000E5F3D" w:rsidP="000E5F3D">
      <w:pPr>
        <w:pStyle w:val="12"/>
        <w:spacing w:before="0" w:after="0"/>
      </w:pPr>
      <w:bookmarkStart w:id="0" w:name="_Toc381366686"/>
      <w:r>
        <w:t>Правила заполнения бланков ответов участников ОГЭ</w:t>
      </w:r>
      <w:bookmarkEnd w:id="0"/>
    </w:p>
    <w:p w:rsidR="000E5F3D" w:rsidRDefault="000E5F3D" w:rsidP="000E5F3D">
      <w:pPr>
        <w:pStyle w:val="Default"/>
      </w:pP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E5F3D" w:rsidRDefault="000E5F3D" w:rsidP="000E5F3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0E5F3D" w:rsidRDefault="000E5F3D" w:rsidP="000E5F3D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5C96A8" wp14:editId="400C5537">
            <wp:simplePos x="0" y="0"/>
            <wp:positionH relativeFrom="margin">
              <wp:posOffset>4467225</wp:posOffset>
            </wp:positionH>
            <wp:positionV relativeFrom="margin">
              <wp:posOffset>7418070</wp:posOffset>
            </wp:positionV>
            <wp:extent cx="1485900" cy="1744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документа, удостоверяющего личность;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E5F3D" w:rsidRDefault="000E5F3D" w:rsidP="000E5F3D">
      <w:pPr>
        <w:ind w:firstLine="709"/>
      </w:pP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ответов на задания с выбором ответа нельзя допускать случайных пометок, </w:t>
      </w:r>
      <w:r>
        <w:rPr>
          <w:sz w:val="28"/>
          <w:szCs w:val="28"/>
        </w:rPr>
        <w:lastRenderedPageBreak/>
        <w:t xml:space="preserve">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</w:p>
    <w:p w:rsidR="000E5F3D" w:rsidRDefault="000E5F3D" w:rsidP="000E5F3D">
      <w:pPr>
        <w:pStyle w:val="Default"/>
        <w:ind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8C096C" wp14:editId="4E5248E7">
            <wp:simplePos x="0" y="0"/>
            <wp:positionH relativeFrom="column">
              <wp:posOffset>4299585</wp:posOffset>
            </wp:positionH>
            <wp:positionV relativeFrom="paragraph">
              <wp:posOffset>24130</wp:posOffset>
            </wp:positionV>
            <wp:extent cx="176022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273" y="21498"/>
                <wp:lineTo x="212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9" b="18553"/>
                    <a:stretch/>
                  </pic:blipFill>
                  <pic:spPr bwMode="auto">
                    <a:xfrm>
                      <a:off x="0" y="0"/>
                      <a:ext cx="1760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E5F3D" w:rsidRDefault="000E5F3D" w:rsidP="000E5F3D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E5F3D" w:rsidRDefault="000E5F3D" w:rsidP="000E5F3D">
      <w:pPr>
        <w:ind w:firstLine="709"/>
        <w:jc w:val="both"/>
      </w:pPr>
      <w:r>
        <w:rPr>
          <w:sz w:val="28"/>
          <w:szCs w:val="28"/>
        </w:rPr>
        <w:t xml:space="preserve">На бланке ответов № 1 расположены поля для замены ошибочных ответов, предназначенные для исправления участниками своих ответов части А. </w:t>
      </w:r>
    </w:p>
    <w:p w:rsidR="000E5F3D" w:rsidRDefault="000E5F3D" w:rsidP="000E5F3D">
      <w:pPr>
        <w:rPr>
          <w:noProof/>
        </w:rPr>
      </w:pPr>
    </w:p>
    <w:p w:rsidR="000E5F3D" w:rsidRDefault="000E5F3D" w:rsidP="000E5F3D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0E5F3D" w:rsidRDefault="000E5F3D" w:rsidP="000E5F3D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E5F3D" w:rsidRDefault="000E5F3D" w:rsidP="000E5F3D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E5F3D" w:rsidRDefault="000E5F3D" w:rsidP="000E5F3D">
      <w:pPr>
        <w:tabs>
          <w:tab w:val="left" w:pos="1005"/>
        </w:tabs>
      </w:pPr>
      <w:r>
        <w:rPr>
          <w:noProof/>
        </w:rPr>
        <w:drawing>
          <wp:inline distT="0" distB="0" distL="0" distR="0" wp14:anchorId="656CA179" wp14:editId="137B8277">
            <wp:extent cx="4411980" cy="77191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64" cy="7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E5F3D" w:rsidRDefault="000E5F3D" w:rsidP="000E5F3D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E5F3D" w:rsidRDefault="000E5F3D" w:rsidP="000E5F3D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бланке ответов № 1 расположены поля для замены ошибочных ответов, предназначенные для исправления участниками своих ответов части В. </w:t>
      </w:r>
    </w:p>
    <w:p w:rsidR="000E5F3D" w:rsidRDefault="000E5F3D" w:rsidP="000E5F3D">
      <w:pPr>
        <w:tabs>
          <w:tab w:val="left" w:pos="1005"/>
        </w:tabs>
      </w:pPr>
      <w:r>
        <w:rPr>
          <w:noProof/>
        </w:rPr>
        <w:drawing>
          <wp:inline distT="0" distB="0" distL="0" distR="0" wp14:anchorId="759330BD" wp14:editId="2AC1B1DB">
            <wp:extent cx="1950720" cy="81335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98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>
      <w:pPr>
        <w:pStyle w:val="Default"/>
        <w:ind w:firstLine="709"/>
        <w:jc w:val="both"/>
        <w:rPr>
          <w:b/>
          <w:bCs/>
          <w:sz w:val="28"/>
          <w:szCs w:val="32"/>
        </w:rPr>
      </w:pPr>
    </w:p>
    <w:p w:rsidR="000E5F3D" w:rsidRDefault="000E5F3D" w:rsidP="000E5F3D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</w:t>
      </w:r>
      <w:r>
        <w:rPr>
          <w:sz w:val="28"/>
          <w:szCs w:val="28"/>
        </w:rPr>
        <w:lastRenderedPageBreak/>
        <w:t>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оборотной стороне бланка, сделав внизу лицевой стороны запись «смотри на обороте».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E5F3D" w:rsidRPr="00617C7C" w:rsidRDefault="000E5F3D" w:rsidP="000E5F3D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0E5F3D" w:rsidRPr="00DD6938" w:rsidRDefault="000E5F3D" w:rsidP="000E5F3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0E5F3D" w:rsidRDefault="000E5F3D" w:rsidP="000E5F3D">
      <w:r>
        <w:rPr>
          <w:noProof/>
        </w:rPr>
        <w:lastRenderedPageBreak/>
        <w:drawing>
          <wp:inline distT="0" distB="0" distL="0" distR="0" wp14:anchorId="32EF149D" wp14:editId="18F68F5F">
            <wp:extent cx="5943600" cy="8429625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/>
    <w:p w:rsidR="000E5F3D" w:rsidRDefault="000E5F3D" w:rsidP="000E5F3D">
      <w:pPr>
        <w:jc w:val="right"/>
      </w:pPr>
    </w:p>
    <w:p w:rsidR="000E5F3D" w:rsidRDefault="000E5F3D" w:rsidP="000E5F3D">
      <w:pPr>
        <w:jc w:val="right"/>
      </w:pPr>
      <w:r>
        <w:rPr>
          <w:noProof/>
        </w:rPr>
        <w:lastRenderedPageBreak/>
        <w:drawing>
          <wp:inline distT="0" distB="0" distL="0" distR="0" wp14:anchorId="5BB596AB" wp14:editId="6062163B">
            <wp:extent cx="5934075" cy="842010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>
      <w:pPr>
        <w:jc w:val="right"/>
      </w:pPr>
    </w:p>
    <w:p w:rsidR="008C66D7" w:rsidRDefault="008C66D7">
      <w:bookmarkStart w:id="1" w:name="_GoBack"/>
      <w:bookmarkEnd w:id="1"/>
    </w:p>
    <w:sectPr w:rsidR="008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33"/>
    <w:rsid w:val="000E5F3D"/>
    <w:rsid w:val="008C66D7"/>
    <w:rsid w:val="00C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F3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F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F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F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F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F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F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F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F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F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5F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5F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0E5F3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0E5F3D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E5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F3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F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F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F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F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F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F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F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F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F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5F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5F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0E5F3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0E5F3D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E5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2014-03-06T07:42:00Z</dcterms:created>
  <dcterms:modified xsi:type="dcterms:W3CDTF">2014-03-06T07:42:00Z</dcterms:modified>
</cp:coreProperties>
</file>